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EE" w:rsidRPr="00B713EE" w:rsidRDefault="00467D1F" w:rsidP="00B713EE">
      <w:pPr>
        <w:pStyle w:val="Titre7"/>
        <w:jc w:val="both"/>
        <w:rPr>
          <w:rFonts w:ascii="Tw Cen MT" w:hAnsi="Tw Cen MT"/>
          <w:noProof/>
        </w:rPr>
      </w:pPr>
      <w:r>
        <w:rPr>
          <w:rFonts w:ascii="Tw Cen MT" w:hAnsi="Tw Cen MT"/>
          <w:noProof/>
        </w:rPr>
        <w:drawing>
          <wp:inline distT="0" distB="0" distL="0" distR="0">
            <wp:extent cx="963930" cy="963930"/>
            <wp:effectExtent l="19050" t="0" r="7620" b="0"/>
            <wp:docPr id="5" name="Image 1" descr="Ville de Baie-Mahault _ 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ille de Baie-Mahault _ Blas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3EE" w:rsidRPr="00B713EE">
        <w:rPr>
          <w:rFonts w:ascii="Tw Cen MT" w:hAnsi="Tw Cen MT"/>
          <w:noProof/>
        </w:rPr>
        <w:t xml:space="preserve">  </w:t>
      </w:r>
      <w:r>
        <w:rPr>
          <w:rFonts w:ascii="Tw Cen MT" w:hAnsi="Tw Cen MT"/>
          <w:noProof/>
        </w:rPr>
        <w:drawing>
          <wp:inline distT="0" distB="0" distL="0" distR="0">
            <wp:extent cx="1886585" cy="906145"/>
            <wp:effectExtent l="19050" t="0" r="0" b="0"/>
            <wp:docPr id="3" name="Image 2" descr="Fichier 37@4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ichier 37@4x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E7" w:rsidRPr="00B713EE" w:rsidRDefault="008A27E7" w:rsidP="00B713EE">
      <w:pPr>
        <w:pStyle w:val="Titre7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ab/>
      </w:r>
    </w:p>
    <w:p w:rsidR="008A27E7" w:rsidRPr="00B713EE" w:rsidRDefault="008A27E7" w:rsidP="00B713EE">
      <w:pPr>
        <w:pStyle w:val="Titre7"/>
        <w:jc w:val="both"/>
        <w:rPr>
          <w:rFonts w:ascii="Tw Cen MT" w:hAnsi="Tw Cen MT"/>
          <w:sz w:val="22"/>
        </w:rPr>
      </w:pPr>
    </w:p>
    <w:p w:rsidR="008A27E7" w:rsidRPr="00B713EE" w:rsidRDefault="008A27E7" w:rsidP="00B713EE">
      <w:pPr>
        <w:pStyle w:val="Titre7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Direction Générale Adjointe des Services</w:t>
      </w:r>
    </w:p>
    <w:p w:rsidR="008A27E7" w:rsidRPr="00B713EE" w:rsidRDefault="00B50BDB" w:rsidP="00B713EE">
      <w:pPr>
        <w:jc w:val="both"/>
        <w:rPr>
          <w:rFonts w:ascii="Tw Cen MT" w:hAnsi="Tw Cen MT"/>
        </w:rPr>
      </w:pPr>
      <w:r w:rsidRPr="00B713EE">
        <w:rPr>
          <w:rFonts w:ascii="Tw Cen MT" w:hAnsi="Tw Cen MT"/>
        </w:rPr>
        <w:t>"Pôle « Citoyenneté</w:t>
      </w:r>
      <w:r w:rsidR="008A27E7" w:rsidRPr="00B713EE">
        <w:rPr>
          <w:rFonts w:ascii="Tw Cen MT" w:hAnsi="Tw Cen MT"/>
        </w:rPr>
        <w:t>, Solidarité et Animation du Territoire »</w:t>
      </w:r>
    </w:p>
    <w:p w:rsidR="008A27E7" w:rsidRPr="00B713EE" w:rsidRDefault="008A27E7" w:rsidP="00B713EE">
      <w:pPr>
        <w:jc w:val="both"/>
        <w:rPr>
          <w:rFonts w:ascii="Tw Cen MT" w:hAnsi="Tw Cen MT"/>
        </w:rPr>
      </w:pPr>
      <w:r w:rsidRPr="00B713EE">
        <w:rPr>
          <w:rFonts w:ascii="Tw Cen MT" w:hAnsi="Tw Cen MT"/>
        </w:rPr>
        <w:t>Département « Animation du Territoire »</w:t>
      </w:r>
    </w:p>
    <w:p w:rsidR="008A27E7" w:rsidRPr="00B713EE" w:rsidRDefault="008A27E7" w:rsidP="00B713EE">
      <w:pPr>
        <w:jc w:val="both"/>
        <w:rPr>
          <w:rFonts w:ascii="Tw Cen MT" w:hAnsi="Tw Cen MT"/>
        </w:rPr>
      </w:pPr>
      <w:r w:rsidRPr="00B713EE">
        <w:rPr>
          <w:rFonts w:ascii="Tw Cen MT" w:hAnsi="Tw Cen MT"/>
        </w:rPr>
        <w:t>Direction de la Jeunesse et des Sports.</w:t>
      </w:r>
    </w:p>
    <w:p w:rsidR="008A27E7" w:rsidRPr="00B713EE" w:rsidRDefault="008A27E7" w:rsidP="00B713EE">
      <w:pPr>
        <w:jc w:val="both"/>
        <w:rPr>
          <w:rFonts w:ascii="Tw Cen MT" w:hAnsi="Tw Cen MT"/>
          <w:b/>
          <w:bCs/>
          <w:sz w:val="32"/>
          <w:szCs w:val="32"/>
        </w:rPr>
      </w:pPr>
      <w:r w:rsidRPr="00B713EE">
        <w:rPr>
          <w:rFonts w:ascii="Tw Cen MT" w:hAnsi="Tw Cen MT"/>
        </w:rPr>
        <w:t xml:space="preserve">Service jeunesse </w:t>
      </w:r>
    </w:p>
    <w:p w:rsidR="008A27E7" w:rsidRPr="00B713EE" w:rsidRDefault="008A27E7" w:rsidP="00B713EE">
      <w:pPr>
        <w:jc w:val="both"/>
        <w:rPr>
          <w:rFonts w:ascii="Tw Cen MT" w:hAnsi="Tw Cen MT"/>
        </w:rPr>
      </w:pPr>
    </w:p>
    <w:p w:rsidR="008A27E7" w:rsidRPr="00B713EE" w:rsidRDefault="008A27E7" w:rsidP="00B713EE">
      <w:pPr>
        <w:jc w:val="both"/>
        <w:rPr>
          <w:rFonts w:ascii="Tw Cen MT" w:hAnsi="Tw Cen MT"/>
        </w:rPr>
      </w:pPr>
    </w:p>
    <w:p w:rsidR="008A27E7" w:rsidRPr="00B713EE" w:rsidRDefault="008A27E7" w:rsidP="00B713EE">
      <w:pPr>
        <w:jc w:val="both"/>
        <w:rPr>
          <w:rFonts w:ascii="Tw Cen MT" w:hAnsi="Tw Cen MT"/>
        </w:rPr>
      </w:pPr>
    </w:p>
    <w:p w:rsidR="00467D1F" w:rsidRPr="008E791F" w:rsidRDefault="00467D1F" w:rsidP="00467D1F">
      <w:pPr>
        <w:jc w:val="center"/>
        <w:rPr>
          <w:rFonts w:ascii="Tw Cen MT" w:hAnsi="Tw Cen MT"/>
          <w:b/>
          <w:color w:val="1F497D"/>
          <w:sz w:val="72"/>
          <w:szCs w:val="36"/>
        </w:rPr>
      </w:pPr>
      <w:r>
        <w:rPr>
          <w:rFonts w:ascii="Tw Cen MT" w:hAnsi="Tw Cen MT"/>
          <w:b/>
          <w:color w:val="1F497D"/>
          <w:sz w:val="72"/>
          <w:szCs w:val="36"/>
        </w:rPr>
        <w:t>BEMAO TALK</w:t>
      </w:r>
    </w:p>
    <w:p w:rsidR="00467D1F" w:rsidRPr="008E791F" w:rsidRDefault="00467D1F" w:rsidP="00467D1F">
      <w:pPr>
        <w:jc w:val="center"/>
        <w:rPr>
          <w:rFonts w:ascii="Tw Cen MT" w:hAnsi="Tw Cen MT"/>
          <w:b/>
          <w:color w:val="12B6F1"/>
          <w:sz w:val="36"/>
          <w:szCs w:val="36"/>
        </w:rPr>
      </w:pPr>
      <w:r>
        <w:rPr>
          <w:rFonts w:ascii="Tw Cen MT" w:hAnsi="Tw Cen MT"/>
          <w:b/>
          <w:color w:val="12B6F1"/>
          <w:sz w:val="36"/>
          <w:szCs w:val="36"/>
        </w:rPr>
        <w:t>Règlement 2025</w:t>
      </w:r>
    </w:p>
    <w:p w:rsidR="006256B2" w:rsidRPr="00B713EE" w:rsidRDefault="006256B2" w:rsidP="00B713EE">
      <w:pPr>
        <w:jc w:val="both"/>
        <w:rPr>
          <w:rFonts w:ascii="Tw Cen MT" w:hAnsi="Tw Cen MT"/>
        </w:rPr>
      </w:pP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1 : Généralités.</w:t>
      </w:r>
    </w:p>
    <w:p w:rsidR="008A27E7" w:rsidRPr="00B713EE" w:rsidRDefault="00523194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 concours</w:t>
      </w:r>
      <w:r w:rsidR="008A27E7" w:rsidRPr="00B713EE">
        <w:rPr>
          <w:rFonts w:ascii="Tw Cen MT" w:hAnsi="Tw Cen MT"/>
          <w:sz w:val="22"/>
        </w:rPr>
        <w:t xml:space="preserve"> d’éloquence</w:t>
      </w:r>
      <w:r w:rsidRPr="00B713EE">
        <w:rPr>
          <w:rFonts w:ascii="Tw Cen MT" w:hAnsi="Tw Cen MT"/>
          <w:sz w:val="22"/>
        </w:rPr>
        <w:t xml:space="preserve"> Bémao Talk</w:t>
      </w:r>
      <w:r w:rsidR="008A27E7" w:rsidRPr="00B713EE">
        <w:rPr>
          <w:rFonts w:ascii="Tw Cen MT" w:hAnsi="Tw Cen MT"/>
          <w:sz w:val="22"/>
        </w:rPr>
        <w:t xml:space="preserve"> est organisé par l</w:t>
      </w:r>
      <w:r w:rsidRPr="00B713EE">
        <w:rPr>
          <w:rFonts w:ascii="Tw Cen MT" w:hAnsi="Tw Cen MT"/>
          <w:sz w:val="22"/>
        </w:rPr>
        <w:t>a Direct</w:t>
      </w:r>
      <w:r w:rsidR="00B713EE" w:rsidRPr="00B713EE">
        <w:rPr>
          <w:rFonts w:ascii="Tw Cen MT" w:hAnsi="Tw Cen MT"/>
          <w:sz w:val="22"/>
        </w:rPr>
        <w:t xml:space="preserve">ion de la Jeunesse et des Sports </w:t>
      </w:r>
      <w:r w:rsidRPr="00B713EE">
        <w:rPr>
          <w:rFonts w:ascii="Tw Cen MT" w:hAnsi="Tw Cen MT"/>
          <w:sz w:val="22"/>
        </w:rPr>
        <w:t>(Service Jeunesse)</w:t>
      </w:r>
      <w:r w:rsidR="008A27E7" w:rsidRPr="00B713EE">
        <w:rPr>
          <w:rFonts w:ascii="Tw Cen MT" w:hAnsi="Tw Cen MT"/>
          <w:sz w:val="22"/>
        </w:rPr>
        <w:t>,</w:t>
      </w:r>
      <w:r w:rsidRPr="00B713EE">
        <w:rPr>
          <w:rFonts w:ascii="Tw Cen MT" w:hAnsi="Tw Cen MT"/>
          <w:sz w:val="22"/>
        </w:rPr>
        <w:t xml:space="preserve"> en collaboration avec les maisons </w:t>
      </w:r>
      <w:r w:rsidR="00B713EE" w:rsidRPr="00B713EE">
        <w:rPr>
          <w:rFonts w:ascii="Tw Cen MT" w:hAnsi="Tw Cen MT"/>
          <w:sz w:val="22"/>
        </w:rPr>
        <w:t>de quartiers de la Ville de Baie-Mahault et le Centre social de M</w:t>
      </w:r>
      <w:r w:rsidRPr="00B713EE">
        <w:rPr>
          <w:rFonts w:ascii="Tw Cen MT" w:hAnsi="Tw Cen MT"/>
          <w:sz w:val="22"/>
        </w:rPr>
        <w:t>oudong.</w:t>
      </w:r>
      <w:r w:rsidR="008A27E7" w:rsidRPr="00B713EE">
        <w:rPr>
          <w:rFonts w:ascii="Tw Cen MT" w:hAnsi="Tw Cen MT"/>
          <w:sz w:val="22"/>
        </w:rPr>
        <w:t> 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2 : Inscriptions.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Les inscriptions se dérouleront</w:t>
      </w:r>
      <w:r w:rsidR="000010CA" w:rsidRPr="00B713EE">
        <w:rPr>
          <w:rFonts w:ascii="Tw Cen MT" w:hAnsi="Tw Cen MT"/>
          <w:sz w:val="22"/>
        </w:rPr>
        <w:t xml:space="preserve"> dans les maisons quartiers et au Service Jeunesse </w:t>
      </w:r>
      <w:r w:rsidR="00523194" w:rsidRPr="00B713EE">
        <w:rPr>
          <w:rFonts w:ascii="Tw Cen MT" w:hAnsi="Tw Cen MT"/>
          <w:sz w:val="22"/>
        </w:rPr>
        <w:t xml:space="preserve">du </w:t>
      </w:r>
      <w:r w:rsidR="00936780" w:rsidRPr="00B713EE">
        <w:rPr>
          <w:rFonts w:ascii="Tw Cen MT" w:hAnsi="Tw Cen MT"/>
          <w:sz w:val="22"/>
        </w:rPr>
        <w:t>05 au 13</w:t>
      </w:r>
      <w:r w:rsidR="00523194" w:rsidRPr="00B713EE">
        <w:rPr>
          <w:rFonts w:ascii="Tw Cen MT" w:hAnsi="Tw Cen MT"/>
          <w:sz w:val="22"/>
        </w:rPr>
        <w:t xml:space="preserve"> </w:t>
      </w:r>
      <w:r w:rsidR="00936780" w:rsidRPr="00B713EE">
        <w:rPr>
          <w:rFonts w:ascii="Tw Cen MT" w:hAnsi="Tw Cen MT"/>
          <w:sz w:val="22"/>
        </w:rPr>
        <w:t>mai 2025</w:t>
      </w:r>
      <w:r w:rsidRPr="00B713EE">
        <w:rPr>
          <w:rFonts w:ascii="Tw Cen MT" w:hAnsi="Tw Cen MT"/>
          <w:sz w:val="22"/>
        </w:rPr>
        <w:t>.</w:t>
      </w:r>
    </w:p>
    <w:p w:rsidR="00FD6456" w:rsidRPr="00B713EE" w:rsidRDefault="00FD6456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Début des répétitions le 17 </w:t>
      </w:r>
      <w:r w:rsidR="00B713EE" w:rsidRPr="00B713EE">
        <w:rPr>
          <w:rFonts w:ascii="Tw Cen MT" w:hAnsi="Tw Cen MT"/>
          <w:sz w:val="22"/>
        </w:rPr>
        <w:t>M</w:t>
      </w:r>
      <w:r w:rsidR="00936780" w:rsidRPr="00B713EE">
        <w:rPr>
          <w:rFonts w:ascii="Tw Cen MT" w:hAnsi="Tw Cen MT"/>
          <w:sz w:val="22"/>
        </w:rPr>
        <w:t xml:space="preserve">ai </w:t>
      </w:r>
      <w:r w:rsidRPr="00B713EE">
        <w:rPr>
          <w:rFonts w:ascii="Tw Cen MT" w:hAnsi="Tw Cen MT"/>
          <w:sz w:val="22"/>
        </w:rPr>
        <w:t>202</w:t>
      </w:r>
      <w:r w:rsidR="00936780" w:rsidRPr="00B713EE">
        <w:rPr>
          <w:rFonts w:ascii="Tw Cen MT" w:hAnsi="Tw Cen MT"/>
          <w:sz w:val="22"/>
        </w:rPr>
        <w:t>5</w:t>
      </w:r>
      <w:r w:rsidRPr="00B713EE">
        <w:rPr>
          <w:rFonts w:ascii="Tw Cen MT" w:hAnsi="Tw Cen MT"/>
          <w:sz w:val="22"/>
        </w:rPr>
        <w:t xml:space="preserve"> en fonction des horaires</w:t>
      </w:r>
      <w:r w:rsidR="00B713EE" w:rsidRPr="00B713EE">
        <w:rPr>
          <w:rFonts w:ascii="Tw Cen MT" w:hAnsi="Tw Cen MT"/>
          <w:sz w:val="22"/>
        </w:rPr>
        <w:t xml:space="preserve"> définis par</w:t>
      </w:r>
      <w:r w:rsidR="00CB4DD8" w:rsidRPr="00B713EE">
        <w:rPr>
          <w:rFonts w:ascii="Tw Cen MT" w:hAnsi="Tw Cen MT"/>
          <w:sz w:val="22"/>
        </w:rPr>
        <w:t xml:space="preserve"> les </w:t>
      </w:r>
      <w:r w:rsidRPr="00B713EE">
        <w:rPr>
          <w:rFonts w:ascii="Tw Cen MT" w:hAnsi="Tw Cen MT"/>
          <w:sz w:val="22"/>
        </w:rPr>
        <w:t>maisons</w:t>
      </w:r>
      <w:r w:rsidR="00CB4DD8" w:rsidRPr="00B713EE">
        <w:rPr>
          <w:rFonts w:ascii="Tw Cen MT" w:hAnsi="Tw Cen MT"/>
          <w:sz w:val="22"/>
        </w:rPr>
        <w:t xml:space="preserve"> de</w:t>
      </w:r>
      <w:r w:rsidRPr="00B713EE">
        <w:rPr>
          <w:rFonts w:ascii="Tw Cen MT" w:hAnsi="Tw Cen MT"/>
          <w:sz w:val="22"/>
        </w:rPr>
        <w:t xml:space="preserve"> quartiers.</w:t>
      </w:r>
    </w:p>
    <w:p w:rsidR="00FD6456" w:rsidRPr="00B713EE" w:rsidRDefault="00B713EE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 candidat s’engage à respecter</w:t>
      </w:r>
      <w:r w:rsidR="00FD6456" w:rsidRPr="00B713EE">
        <w:rPr>
          <w:rFonts w:ascii="Tw Cen MT" w:hAnsi="Tw Cen MT"/>
          <w:sz w:val="22"/>
        </w:rPr>
        <w:t xml:space="preserve"> celle</w:t>
      </w:r>
      <w:r w:rsidR="00CB4DD8" w:rsidRPr="00B713EE">
        <w:rPr>
          <w:rFonts w:ascii="Tw Cen MT" w:hAnsi="Tw Cen MT"/>
          <w:sz w:val="22"/>
        </w:rPr>
        <w:t>s</w:t>
      </w:r>
      <w:r w:rsidR="00FD6456" w:rsidRPr="00B713EE">
        <w:rPr>
          <w:rFonts w:ascii="Tw Cen MT" w:hAnsi="Tw Cen MT"/>
          <w:sz w:val="22"/>
        </w:rPr>
        <w:t>-ci en signant le règlement du concours.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3 : Sélection des lauréats.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Ce concours est </w:t>
      </w:r>
      <w:r w:rsidR="0049448A" w:rsidRPr="00B713EE">
        <w:rPr>
          <w:rFonts w:ascii="Tw Cen MT" w:hAnsi="Tw Cen MT"/>
          <w:sz w:val="22"/>
        </w:rPr>
        <w:t>ouvert aux résidents</w:t>
      </w:r>
      <w:r w:rsidR="003C4E98" w:rsidRPr="00B713EE">
        <w:rPr>
          <w:rFonts w:ascii="Tw Cen MT" w:hAnsi="Tw Cen MT"/>
          <w:sz w:val="22"/>
        </w:rPr>
        <w:t xml:space="preserve"> </w:t>
      </w:r>
      <w:r w:rsidR="003664BA" w:rsidRPr="00B713EE">
        <w:rPr>
          <w:rFonts w:ascii="Tw Cen MT" w:hAnsi="Tw Cen MT"/>
          <w:sz w:val="22"/>
        </w:rPr>
        <w:t xml:space="preserve">ou aux jeunes scolarisés sur le territoire </w:t>
      </w:r>
      <w:r w:rsidR="0049448A" w:rsidRPr="00B713EE">
        <w:rPr>
          <w:rFonts w:ascii="Tw Cen MT" w:hAnsi="Tw Cen MT"/>
          <w:sz w:val="22"/>
        </w:rPr>
        <w:t>de Baie-Mahault</w:t>
      </w:r>
      <w:r w:rsidRPr="00B713EE">
        <w:rPr>
          <w:rFonts w:ascii="Tw Cen MT" w:hAnsi="Tw Cen MT"/>
          <w:sz w:val="22"/>
        </w:rPr>
        <w:t xml:space="preserve"> </w:t>
      </w:r>
      <w:r w:rsidR="0049448A" w:rsidRPr="00B713EE">
        <w:rPr>
          <w:rFonts w:ascii="Tw Cen MT" w:hAnsi="Tw Cen MT"/>
          <w:sz w:val="22"/>
        </w:rPr>
        <w:t xml:space="preserve">âgé </w:t>
      </w:r>
      <w:r w:rsidR="00B713EE" w:rsidRPr="00B713EE">
        <w:rPr>
          <w:rFonts w:ascii="Tw Cen MT" w:hAnsi="Tw Cen MT"/>
          <w:sz w:val="22"/>
        </w:rPr>
        <w:t>de</w:t>
      </w:r>
      <w:r w:rsidR="0049448A" w:rsidRPr="00B713EE">
        <w:rPr>
          <w:rFonts w:ascii="Tw Cen MT" w:hAnsi="Tw Cen MT"/>
          <w:sz w:val="22"/>
        </w:rPr>
        <w:t xml:space="preserve"> 15 </w:t>
      </w:r>
      <w:r w:rsidR="00B713EE" w:rsidRPr="00B713EE">
        <w:rPr>
          <w:rFonts w:ascii="Tw Cen MT" w:hAnsi="Tw Cen MT"/>
          <w:sz w:val="22"/>
        </w:rPr>
        <w:t xml:space="preserve">à </w:t>
      </w:r>
      <w:r w:rsidR="0049448A" w:rsidRPr="00B713EE">
        <w:rPr>
          <w:rFonts w:ascii="Tw Cen MT" w:hAnsi="Tw Cen MT"/>
          <w:sz w:val="22"/>
        </w:rPr>
        <w:t xml:space="preserve"> 20 ans scolarisé ou pas.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4 : Sujets.</w:t>
      </w:r>
    </w:p>
    <w:p w:rsidR="000E450C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Les sujets sélectionnés porter</w:t>
      </w:r>
      <w:r w:rsidR="00FD6456" w:rsidRPr="00B713EE">
        <w:rPr>
          <w:rFonts w:ascii="Tw Cen MT" w:hAnsi="Tw Cen MT"/>
          <w:sz w:val="22"/>
        </w:rPr>
        <w:t>ont sur des thèmes</w:t>
      </w:r>
      <w:r w:rsidR="00CB4DD8" w:rsidRPr="00B713EE">
        <w:rPr>
          <w:rFonts w:ascii="Tw Cen MT" w:hAnsi="Tw Cen MT"/>
          <w:sz w:val="22"/>
        </w:rPr>
        <w:t> :</w:t>
      </w:r>
    </w:p>
    <w:p w:rsidR="000E450C" w:rsidRPr="00B713EE" w:rsidRDefault="000E450C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La </w:t>
      </w:r>
      <w:r w:rsidR="002659EA" w:rsidRPr="00B713EE">
        <w:rPr>
          <w:rFonts w:ascii="Tw Cen MT" w:hAnsi="Tw Cen MT"/>
          <w:sz w:val="22"/>
        </w:rPr>
        <w:t>vie chè</w:t>
      </w:r>
      <w:r w:rsidR="00597F6F" w:rsidRPr="00B713EE">
        <w:rPr>
          <w:rFonts w:ascii="Tw Cen MT" w:hAnsi="Tw Cen MT"/>
          <w:sz w:val="22"/>
        </w:rPr>
        <w:t>r</w:t>
      </w:r>
      <w:r w:rsidR="002659EA" w:rsidRPr="00B713EE">
        <w:rPr>
          <w:rFonts w:ascii="Tw Cen MT" w:hAnsi="Tw Cen MT"/>
          <w:sz w:val="22"/>
        </w:rPr>
        <w:t>e</w:t>
      </w:r>
    </w:p>
    <w:p w:rsidR="002659EA" w:rsidRPr="00B713EE" w:rsidRDefault="002659EA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Le harcèlement </w:t>
      </w:r>
    </w:p>
    <w:p w:rsidR="002659EA" w:rsidRPr="00B713EE" w:rsidRDefault="002659EA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L’utilisation des réseaux sociaux </w:t>
      </w:r>
    </w:p>
    <w:p w:rsidR="002659EA" w:rsidRPr="00B713EE" w:rsidRDefault="002659EA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La communication au sein de la famille</w:t>
      </w:r>
    </w:p>
    <w:p w:rsidR="002659EA" w:rsidRPr="00B713EE" w:rsidRDefault="002659EA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La discrimination capillaire</w:t>
      </w:r>
    </w:p>
    <w:p w:rsidR="008A27E7" w:rsidRPr="00B713EE" w:rsidRDefault="000E450C" w:rsidP="00B713EE">
      <w:pPr>
        <w:pStyle w:val="NormalWeb"/>
        <w:numPr>
          <w:ilvl w:val="0"/>
          <w:numId w:val="1"/>
        </w:numPr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E</w:t>
      </w:r>
      <w:r w:rsidR="00FD6456" w:rsidRPr="00B713EE">
        <w:rPr>
          <w:rFonts w:ascii="Tw Cen MT" w:hAnsi="Tw Cen MT"/>
          <w:sz w:val="22"/>
        </w:rPr>
        <w:t>xpression libre</w:t>
      </w:r>
      <w:r w:rsidR="008A27E7" w:rsidRPr="00B713EE">
        <w:rPr>
          <w:rFonts w:ascii="Tw Cen MT" w:hAnsi="Tw Cen MT"/>
          <w:sz w:val="22"/>
        </w:rPr>
        <w:t> 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5 : Répartition des sujets.</w:t>
      </w:r>
    </w:p>
    <w:p w:rsidR="00F96C1E" w:rsidRPr="00B713EE" w:rsidRDefault="00F96C1E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Afin de permettre aux candidats de préparer leurs éléments de réponse, l</w:t>
      </w:r>
      <w:r w:rsidR="008A27E7" w:rsidRPr="00B713EE">
        <w:rPr>
          <w:rFonts w:ascii="Tw Cen MT" w:hAnsi="Tw Cen MT"/>
          <w:sz w:val="22"/>
        </w:rPr>
        <w:t>es sujets des phases qua</w:t>
      </w:r>
      <w:r w:rsidR="0049448A" w:rsidRPr="00B713EE">
        <w:rPr>
          <w:rFonts w:ascii="Tw Cen MT" w:hAnsi="Tw Cen MT"/>
          <w:sz w:val="22"/>
        </w:rPr>
        <w:t xml:space="preserve">lificatives à la </w:t>
      </w:r>
      <w:r w:rsidR="008A27E7" w:rsidRPr="00B713EE">
        <w:rPr>
          <w:rFonts w:ascii="Tw Cen MT" w:hAnsi="Tw Cen MT"/>
          <w:sz w:val="22"/>
        </w:rPr>
        <w:t xml:space="preserve">finale seront </w:t>
      </w:r>
      <w:r w:rsidRPr="00B713EE">
        <w:rPr>
          <w:rFonts w:ascii="Tw Cen MT" w:hAnsi="Tw Cen MT"/>
          <w:sz w:val="22"/>
        </w:rPr>
        <w:t>communiqués</w:t>
      </w:r>
      <w:r w:rsidR="0049448A" w:rsidRPr="00B713EE">
        <w:rPr>
          <w:rFonts w:ascii="Tw Cen MT" w:hAnsi="Tw Cen MT"/>
          <w:sz w:val="22"/>
        </w:rPr>
        <w:t xml:space="preserve"> dès </w:t>
      </w:r>
      <w:r w:rsidRPr="00B713EE">
        <w:rPr>
          <w:rFonts w:ascii="Tw Cen MT" w:hAnsi="Tw Cen MT"/>
          <w:sz w:val="22"/>
        </w:rPr>
        <w:t>le premier jour</w:t>
      </w:r>
      <w:r w:rsidR="0049448A" w:rsidRPr="00B713EE">
        <w:rPr>
          <w:rFonts w:ascii="Tw Cen MT" w:hAnsi="Tw Cen MT"/>
          <w:sz w:val="22"/>
        </w:rPr>
        <w:t xml:space="preserve"> des répétitions</w:t>
      </w:r>
      <w:r w:rsidRPr="00B713EE">
        <w:rPr>
          <w:rFonts w:ascii="Tw Cen MT" w:hAnsi="Tw Cen MT"/>
          <w:sz w:val="22"/>
        </w:rPr>
        <w:t>.</w:t>
      </w:r>
    </w:p>
    <w:p w:rsidR="008A27E7" w:rsidRPr="00B713EE" w:rsidRDefault="00B713EE" w:rsidP="00B713EE">
      <w:pPr>
        <w:pStyle w:val="NormalWeb"/>
        <w:jc w:val="both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lastRenderedPageBreak/>
        <w:t>Ils auront a travailler</w:t>
      </w:r>
      <w:r w:rsidR="00F96C1E" w:rsidRPr="00B713EE">
        <w:rPr>
          <w:rFonts w:ascii="Tw Cen MT" w:hAnsi="Tw Cen MT"/>
          <w:sz w:val="22"/>
        </w:rPr>
        <w:t xml:space="preserve"> sur trois sujet</w:t>
      </w:r>
      <w:r w:rsidR="00FB0FB4" w:rsidRPr="00B713EE">
        <w:rPr>
          <w:rFonts w:ascii="Tw Cen MT" w:hAnsi="Tw Cen MT"/>
          <w:sz w:val="22"/>
        </w:rPr>
        <w:t>s qui seront</w:t>
      </w:r>
      <w:r w:rsidR="00F96C1E" w:rsidRPr="00B713EE">
        <w:rPr>
          <w:rFonts w:ascii="Tw Cen MT" w:hAnsi="Tw Cen MT"/>
          <w:sz w:val="22"/>
        </w:rPr>
        <w:t xml:space="preserve"> tiré</w:t>
      </w:r>
      <w:r w:rsidR="00FB0FB4" w:rsidRPr="00B713EE">
        <w:rPr>
          <w:rFonts w:ascii="Tw Cen MT" w:hAnsi="Tw Cen MT"/>
          <w:sz w:val="22"/>
        </w:rPr>
        <w:t>s</w:t>
      </w:r>
      <w:r w:rsidR="00F96C1E" w:rsidRPr="00B713EE">
        <w:rPr>
          <w:rFonts w:ascii="Tw Cen MT" w:hAnsi="Tw Cen MT"/>
          <w:sz w:val="22"/>
        </w:rPr>
        <w:t xml:space="preserve"> au sort le jour des demi-finales. 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 sujet de la finale sera communiqué après les résultats de</w:t>
      </w:r>
      <w:r w:rsidR="00F96C1E" w:rsidRPr="00B713EE">
        <w:rPr>
          <w:rFonts w:ascii="Tw Cen MT" w:hAnsi="Tw Cen MT"/>
          <w:sz w:val="22"/>
        </w:rPr>
        <w:t>s</w:t>
      </w:r>
      <w:r w:rsidRPr="00B713EE">
        <w:rPr>
          <w:rFonts w:ascii="Tw Cen MT" w:hAnsi="Tw Cen MT"/>
          <w:sz w:val="22"/>
        </w:rPr>
        <w:t xml:space="preserve"> demi-finale</w:t>
      </w:r>
      <w:r w:rsidR="00F96C1E" w:rsidRPr="00B713EE">
        <w:rPr>
          <w:rFonts w:ascii="Tw Cen MT" w:hAnsi="Tw Cen MT"/>
          <w:sz w:val="22"/>
        </w:rPr>
        <w:t>s</w:t>
      </w:r>
      <w:r w:rsidRPr="00B713EE">
        <w:rPr>
          <w:rFonts w:ascii="Tw Cen MT" w:hAnsi="Tw Cen MT"/>
          <w:sz w:val="22"/>
        </w:rPr>
        <w:t>.</w:t>
      </w:r>
    </w:p>
    <w:p w:rsidR="00F96C1E" w:rsidRPr="00B713EE" w:rsidRDefault="00F96C1E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Lors de la finale l</w:t>
      </w:r>
      <w:r w:rsidR="002C3848" w:rsidRPr="00B713EE">
        <w:rPr>
          <w:rFonts w:ascii="Tw Cen MT" w:hAnsi="Tw Cen MT"/>
          <w:sz w:val="22"/>
        </w:rPr>
        <w:t xml:space="preserve">es candidats pourront exposer une argumentation libre </w:t>
      </w:r>
      <w:r w:rsidRPr="00B713EE">
        <w:rPr>
          <w:rFonts w:ascii="Tw Cen MT" w:hAnsi="Tw Cen MT"/>
          <w:sz w:val="22"/>
        </w:rPr>
        <w:t xml:space="preserve">en plus d’un </w:t>
      </w:r>
      <w:r w:rsidR="002C3848" w:rsidRPr="00B713EE">
        <w:rPr>
          <w:rFonts w:ascii="Tw Cen MT" w:hAnsi="Tw Cen MT"/>
          <w:sz w:val="22"/>
        </w:rPr>
        <w:t>thème</w:t>
      </w:r>
      <w:r w:rsidRPr="00B713EE">
        <w:rPr>
          <w:rFonts w:ascii="Tw Cen MT" w:hAnsi="Tw Cen MT"/>
          <w:sz w:val="22"/>
        </w:rPr>
        <w:t xml:space="preserve"> imposé.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6 : L’exposé.</w:t>
      </w:r>
    </w:p>
    <w:p w:rsidR="008A27E7" w:rsidRPr="00B713EE" w:rsidRDefault="0085106E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Les candidats disposent </w:t>
      </w:r>
      <w:r w:rsidR="008A27E7" w:rsidRPr="00B713EE">
        <w:rPr>
          <w:rFonts w:ascii="Tw Cen MT" w:hAnsi="Tw Cen MT"/>
          <w:sz w:val="22"/>
        </w:rPr>
        <w:t>d’une feuille recto/verso</w:t>
      </w:r>
      <w:r w:rsidRPr="00B713EE">
        <w:rPr>
          <w:rFonts w:ascii="Tw Cen MT" w:hAnsi="Tw Cen MT"/>
          <w:sz w:val="22"/>
        </w:rPr>
        <w:t xml:space="preserve"> pour leur exposé. Ils peuvent également s’aider d’</w:t>
      </w:r>
      <w:r w:rsidR="008A27E7" w:rsidRPr="00B713EE">
        <w:rPr>
          <w:rFonts w:ascii="Tw Cen MT" w:hAnsi="Tw Cen MT"/>
          <w:sz w:val="22"/>
        </w:rPr>
        <w:t>autre</w:t>
      </w:r>
      <w:r w:rsidR="00FB0FB4" w:rsidRPr="00B713EE">
        <w:rPr>
          <w:rFonts w:ascii="Tw Cen MT" w:hAnsi="Tw Cen MT"/>
          <w:sz w:val="22"/>
        </w:rPr>
        <w:t>s</w:t>
      </w:r>
      <w:r w:rsidR="008A27E7" w:rsidRPr="00B713EE">
        <w:rPr>
          <w:rFonts w:ascii="Tw Cen MT" w:hAnsi="Tw Cen MT"/>
          <w:sz w:val="22"/>
        </w:rPr>
        <w:t xml:space="preserve"> accessoire</w:t>
      </w:r>
      <w:r w:rsidR="00FB0FB4" w:rsidRPr="00B713EE">
        <w:rPr>
          <w:rFonts w:ascii="Tw Cen MT" w:hAnsi="Tw Cen MT"/>
          <w:sz w:val="22"/>
        </w:rPr>
        <w:t>s</w:t>
      </w:r>
      <w:r w:rsidRPr="00B713EE">
        <w:rPr>
          <w:rFonts w:ascii="Tw Cen MT" w:hAnsi="Tw Cen MT"/>
          <w:sz w:val="22"/>
        </w:rPr>
        <w:t xml:space="preserve"> qui leurs permettront de mettre en page leurs écrit</w:t>
      </w:r>
      <w:r w:rsidR="00FB0FB4" w:rsidRPr="00B713EE">
        <w:rPr>
          <w:rFonts w:ascii="Tw Cen MT" w:hAnsi="Tw Cen MT"/>
          <w:sz w:val="22"/>
        </w:rPr>
        <w:t>s</w:t>
      </w:r>
      <w:r w:rsidR="008A27E7" w:rsidRPr="00B713EE">
        <w:rPr>
          <w:rFonts w:ascii="Tw Cen MT" w:hAnsi="Tw Cen MT"/>
          <w:sz w:val="22"/>
        </w:rPr>
        <w:t>.</w:t>
      </w:r>
    </w:p>
    <w:p w:rsidR="00431419" w:rsidRPr="00B713EE" w:rsidRDefault="00B713EE" w:rsidP="00B713EE">
      <w:pPr>
        <w:pStyle w:val="NormalWeb"/>
        <w:jc w:val="both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 xml:space="preserve">Le jour du concours, </w:t>
      </w:r>
      <w:r w:rsidR="00FD6456" w:rsidRPr="00B713EE">
        <w:rPr>
          <w:rFonts w:ascii="Tw Cen MT" w:hAnsi="Tw Cen MT"/>
          <w:sz w:val="22"/>
        </w:rPr>
        <w:t>le texte</w:t>
      </w:r>
      <w:r w:rsidR="00431419" w:rsidRPr="00B713EE">
        <w:rPr>
          <w:rFonts w:ascii="Tw Cen MT" w:hAnsi="Tw Cen MT"/>
          <w:sz w:val="22"/>
        </w:rPr>
        <w:t xml:space="preserve"> ne doit pas être lu.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Les candidats </w:t>
      </w:r>
      <w:r w:rsidR="00431419" w:rsidRPr="00B713EE">
        <w:rPr>
          <w:rFonts w:ascii="Tw Cen MT" w:hAnsi="Tw Cen MT"/>
          <w:sz w:val="22"/>
        </w:rPr>
        <w:t>ne pourron</w:t>
      </w:r>
      <w:r w:rsidRPr="00B713EE">
        <w:rPr>
          <w:rFonts w:ascii="Tw Cen MT" w:hAnsi="Tw Cen MT"/>
          <w:sz w:val="22"/>
        </w:rPr>
        <w:t xml:space="preserve">t </w:t>
      </w:r>
      <w:r w:rsidR="00B713EE">
        <w:rPr>
          <w:rFonts w:ascii="Tw Cen MT" w:hAnsi="Tw Cen MT"/>
          <w:sz w:val="22"/>
        </w:rPr>
        <w:t>pas utiliser de pense-</w:t>
      </w:r>
      <w:r w:rsidR="00431419" w:rsidRPr="00B713EE">
        <w:rPr>
          <w:rFonts w:ascii="Tw Cen MT" w:hAnsi="Tw Cen MT"/>
          <w:sz w:val="22"/>
        </w:rPr>
        <w:t>bête</w:t>
      </w:r>
      <w:r w:rsidRPr="00B713EE">
        <w:rPr>
          <w:rFonts w:ascii="Tw Cen MT" w:hAnsi="Tw Cen MT"/>
          <w:sz w:val="22"/>
        </w:rPr>
        <w:t>.</w:t>
      </w:r>
    </w:p>
    <w:p w:rsidR="00431419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Ava</w:t>
      </w:r>
      <w:r w:rsidR="00431419" w:rsidRPr="00B713EE">
        <w:rPr>
          <w:rFonts w:ascii="Tw Cen MT" w:hAnsi="Tw Cen MT"/>
          <w:sz w:val="22"/>
        </w:rPr>
        <w:t>nt le début de l’exposé l’animat</w:t>
      </w:r>
      <w:r w:rsidRPr="00B713EE">
        <w:rPr>
          <w:rFonts w:ascii="Tw Cen MT" w:hAnsi="Tw Cen MT"/>
          <w:sz w:val="22"/>
        </w:rPr>
        <w:t>eur annonce simplement le</w:t>
      </w:r>
      <w:r w:rsidR="00431419" w:rsidRPr="00B713EE">
        <w:rPr>
          <w:rFonts w:ascii="Tw Cen MT" w:hAnsi="Tw Cen MT"/>
          <w:sz w:val="22"/>
        </w:rPr>
        <w:t xml:space="preserve"> nom du candidat, son prénom, le quartier</w:t>
      </w:r>
      <w:r w:rsidRPr="00B713EE">
        <w:rPr>
          <w:rFonts w:ascii="Tw Cen MT" w:hAnsi="Tw Cen MT"/>
          <w:sz w:val="22"/>
        </w:rPr>
        <w:t xml:space="preserve"> d’origine</w:t>
      </w:r>
      <w:r w:rsidR="00431419" w:rsidRPr="00B713EE">
        <w:rPr>
          <w:rFonts w:ascii="Tw Cen MT" w:hAnsi="Tw Cen MT"/>
          <w:sz w:val="22"/>
        </w:rPr>
        <w:t xml:space="preserve"> et ne</w:t>
      </w:r>
      <w:r w:rsidR="00FB0FB4" w:rsidRPr="00B713EE">
        <w:rPr>
          <w:rFonts w:ascii="Tw Cen MT" w:hAnsi="Tw Cen MT"/>
          <w:sz w:val="22"/>
        </w:rPr>
        <w:t xml:space="preserve"> fera pas mention de son âge ni de</w:t>
      </w:r>
      <w:r w:rsidR="00431419" w:rsidRPr="00B713EE">
        <w:rPr>
          <w:rFonts w:ascii="Tw Cen MT" w:hAnsi="Tw Cen MT"/>
          <w:sz w:val="22"/>
        </w:rPr>
        <w:t xml:space="preserve"> son niveau d’étude</w:t>
      </w:r>
      <w:r w:rsidRPr="00B713EE">
        <w:rPr>
          <w:rFonts w:ascii="Tw Cen MT" w:hAnsi="Tw Cen MT"/>
          <w:sz w:val="22"/>
        </w:rPr>
        <w:t xml:space="preserve">. 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Il annonce</w:t>
      </w:r>
      <w:r w:rsidR="00431419" w:rsidRPr="00B713EE">
        <w:rPr>
          <w:rFonts w:ascii="Tw Cen MT" w:hAnsi="Tw Cen MT"/>
          <w:sz w:val="22"/>
        </w:rPr>
        <w:t>ra</w:t>
      </w:r>
      <w:r w:rsidRPr="00B713EE">
        <w:rPr>
          <w:rFonts w:ascii="Tw Cen MT" w:hAnsi="Tw Cen MT"/>
          <w:sz w:val="22"/>
        </w:rPr>
        <w:t xml:space="preserve"> également le sujet sur lequel le candidat argumentera et lance le chronomètre au premier mot de son exposé.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Demi-finale</w:t>
      </w:r>
    </w:p>
    <w:p w:rsidR="002C3848" w:rsidRPr="00B713EE" w:rsidRDefault="00FB0FB4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Lors de la phase qualificative de</w:t>
      </w:r>
      <w:r w:rsidR="002C3848" w:rsidRPr="00B713EE">
        <w:rPr>
          <w:rFonts w:ascii="Tw Cen MT" w:hAnsi="Tw Cen MT"/>
          <w:sz w:val="22"/>
        </w:rPr>
        <w:t xml:space="preserve"> la finale chaque candidat dispose</w:t>
      </w:r>
      <w:r w:rsidRPr="00B713EE">
        <w:rPr>
          <w:rFonts w:ascii="Tw Cen MT" w:hAnsi="Tw Cen MT"/>
          <w:sz w:val="22"/>
        </w:rPr>
        <w:t>ra</w:t>
      </w:r>
      <w:r w:rsidR="002C3848" w:rsidRPr="00B713EE">
        <w:rPr>
          <w:rFonts w:ascii="Tw Cen MT" w:hAnsi="Tw Cen MT"/>
          <w:sz w:val="22"/>
        </w:rPr>
        <w:t xml:space="preserve"> de trois minutes pour sa plaidoirie (plus ou moins 1 minute tolérée).</w:t>
      </w:r>
    </w:p>
    <w:p w:rsidR="002C3848" w:rsidRPr="00B713EE" w:rsidRDefault="002C3848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L’ordre est défini</w:t>
      </w:r>
      <w:r w:rsidR="002D0F17" w:rsidRPr="00B713EE">
        <w:rPr>
          <w:rFonts w:ascii="Tw Cen MT" w:hAnsi="Tw Cen MT"/>
          <w:sz w:val="22"/>
        </w:rPr>
        <w:t xml:space="preserve"> de manière</w:t>
      </w:r>
      <w:r w:rsidRPr="00B713EE">
        <w:rPr>
          <w:rFonts w:ascii="Tw Cen MT" w:hAnsi="Tw Cen MT"/>
          <w:sz w:val="22"/>
        </w:rPr>
        <w:t xml:space="preserve"> aléatoire (tirage au sort) par les organisateurs </w:t>
      </w:r>
      <w:r w:rsidR="002D0F17" w:rsidRPr="00B713EE">
        <w:rPr>
          <w:rFonts w:ascii="Tw Cen MT" w:hAnsi="Tw Cen MT"/>
          <w:sz w:val="22"/>
        </w:rPr>
        <w:t>du concours</w:t>
      </w:r>
      <w:r w:rsidRPr="00B713EE">
        <w:rPr>
          <w:rFonts w:ascii="Tw Cen MT" w:hAnsi="Tw Cen MT"/>
          <w:sz w:val="22"/>
        </w:rPr>
        <w:t>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Finale</w:t>
      </w:r>
    </w:p>
    <w:p w:rsidR="0032218F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Le sujet de la finale sera communiqué </w:t>
      </w:r>
      <w:r w:rsidR="002D0F17" w:rsidRPr="00B713EE">
        <w:rPr>
          <w:rFonts w:ascii="Tw Cen MT" w:hAnsi="Tw Cen MT"/>
          <w:sz w:val="22"/>
        </w:rPr>
        <w:t xml:space="preserve">après le résultat de la dernière demi-finale. </w:t>
      </w:r>
      <w:r w:rsidRPr="00B713EE">
        <w:rPr>
          <w:rFonts w:ascii="Tw Cen MT" w:hAnsi="Tw Cen MT"/>
          <w:sz w:val="22"/>
        </w:rPr>
        <w:t xml:space="preserve">L’argumentation se déroulera selon le modèle suivant : chaque candidat devra </w:t>
      </w:r>
      <w:r w:rsidR="00FD6456" w:rsidRPr="00B713EE">
        <w:rPr>
          <w:rFonts w:ascii="Tw Cen MT" w:hAnsi="Tw Cen MT"/>
          <w:sz w:val="22"/>
        </w:rPr>
        <w:t xml:space="preserve">argumenter </w:t>
      </w:r>
      <w:r w:rsidR="00FB0FB4" w:rsidRPr="00B713EE">
        <w:rPr>
          <w:rFonts w:ascii="Tw Cen MT" w:hAnsi="Tw Cen MT"/>
          <w:sz w:val="22"/>
        </w:rPr>
        <w:t xml:space="preserve">sur </w:t>
      </w:r>
      <w:r w:rsidR="00FD6456" w:rsidRPr="00B713EE">
        <w:rPr>
          <w:rFonts w:ascii="Tw Cen MT" w:hAnsi="Tw Cen MT"/>
          <w:sz w:val="22"/>
        </w:rPr>
        <w:t xml:space="preserve">un thème imposé et </w:t>
      </w:r>
      <w:r w:rsidR="00FB0FB4" w:rsidRPr="00B713EE">
        <w:rPr>
          <w:rFonts w:ascii="Tw Cen MT" w:hAnsi="Tw Cen MT"/>
          <w:sz w:val="22"/>
        </w:rPr>
        <w:t xml:space="preserve">sur </w:t>
      </w:r>
      <w:r w:rsidR="00FD6456" w:rsidRPr="00B713EE">
        <w:rPr>
          <w:rFonts w:ascii="Tw Cen MT" w:hAnsi="Tw Cen MT"/>
          <w:sz w:val="22"/>
        </w:rPr>
        <w:t>un</w:t>
      </w:r>
      <w:r w:rsidR="00FB0FB4" w:rsidRPr="00B713EE">
        <w:rPr>
          <w:rFonts w:ascii="Tw Cen MT" w:hAnsi="Tw Cen MT"/>
          <w:sz w:val="22"/>
        </w:rPr>
        <w:t xml:space="preserve"> thème</w:t>
      </w:r>
      <w:r w:rsidR="00FD6456" w:rsidRPr="00B713EE">
        <w:rPr>
          <w:rFonts w:ascii="Tw Cen MT" w:hAnsi="Tw Cen MT"/>
          <w:sz w:val="22"/>
        </w:rPr>
        <w:t xml:space="preserve"> de son choix</w:t>
      </w:r>
      <w:r w:rsidR="0032218F" w:rsidRPr="00B713EE">
        <w:rPr>
          <w:rFonts w:ascii="Tw Cen MT" w:hAnsi="Tw Cen MT"/>
          <w:sz w:val="22"/>
        </w:rPr>
        <w:t>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Chaque candid</w:t>
      </w:r>
      <w:r w:rsidR="0032218F" w:rsidRPr="00B713EE">
        <w:rPr>
          <w:rFonts w:ascii="Tw Cen MT" w:hAnsi="Tw Cen MT"/>
          <w:sz w:val="22"/>
        </w:rPr>
        <w:t>at dispose ainsi de dix minutes</w:t>
      </w:r>
      <w:r w:rsidR="002D0F17" w:rsidRPr="00B713EE">
        <w:rPr>
          <w:rFonts w:ascii="Tw Cen MT" w:hAnsi="Tw Cen MT"/>
          <w:sz w:val="22"/>
        </w:rPr>
        <w:t xml:space="preserve"> pour exposer ses arguments</w:t>
      </w:r>
      <w:r w:rsidR="0032218F" w:rsidRPr="00B713EE">
        <w:rPr>
          <w:rFonts w:ascii="Tw Cen MT" w:hAnsi="Tw Cen MT"/>
          <w:sz w:val="22"/>
        </w:rPr>
        <w:t>.</w:t>
      </w:r>
      <w:r w:rsidR="002D0F17" w:rsidRPr="00B713EE">
        <w:rPr>
          <w:rFonts w:ascii="Tw Cen MT" w:hAnsi="Tw Cen MT"/>
          <w:sz w:val="22"/>
        </w:rPr>
        <w:t xml:space="preserve"> Soit 5</w:t>
      </w:r>
      <w:r w:rsidR="00B713EE">
        <w:rPr>
          <w:rFonts w:ascii="Tw Cen MT" w:hAnsi="Tw Cen MT"/>
          <w:sz w:val="22"/>
        </w:rPr>
        <w:t xml:space="preserve"> minutes par</w:t>
      </w:r>
      <w:r w:rsidR="002D0F17" w:rsidRPr="00B713EE">
        <w:rPr>
          <w:rFonts w:ascii="Tw Cen MT" w:hAnsi="Tw Cen MT"/>
          <w:sz w:val="22"/>
        </w:rPr>
        <w:t xml:space="preserve"> thème.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 comité organisateur avisera à l’avance les candidats de toute règle additionnelle au présent règlement. Les candidats s’engagent à respecter cette règle pour le bon déroulement du concours.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7 : Le jury.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 jury sera composé d’acteurs du monde universitaire, de professionnels du droit (avocats, magistrats,…) et de professionnels de l’éloquence (acteurs, humoristes, etc)</w:t>
      </w:r>
      <w:r w:rsidR="00FB0FB4" w:rsidRPr="00B713EE">
        <w:rPr>
          <w:rFonts w:ascii="Tw Cen MT" w:hAnsi="Tw Cen MT"/>
          <w:sz w:val="22"/>
        </w:rPr>
        <w:t xml:space="preserve"> de personnalités publiques</w:t>
      </w:r>
      <w:r w:rsidRPr="00B713EE">
        <w:rPr>
          <w:rFonts w:ascii="Tw Cen MT" w:hAnsi="Tw Cen MT"/>
          <w:sz w:val="22"/>
        </w:rPr>
        <w:t>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 xml:space="preserve">Article </w:t>
      </w:r>
      <w:r w:rsidR="00183011" w:rsidRPr="00B713EE">
        <w:rPr>
          <w:rStyle w:val="lev"/>
          <w:rFonts w:ascii="Tw Cen MT" w:hAnsi="Tw Cen MT"/>
          <w:sz w:val="22"/>
        </w:rPr>
        <w:t>8</w:t>
      </w:r>
      <w:r w:rsidRPr="00B713EE">
        <w:rPr>
          <w:rStyle w:val="lev"/>
          <w:rFonts w:ascii="Tw Cen MT" w:hAnsi="Tw Cen MT"/>
          <w:sz w:val="22"/>
        </w:rPr>
        <w:t> : Critères d’évaluation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Afin d’évaluer les discours des candidats, le jury fondera sa décision sur les critères suivants: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– La qualité de l’expression orale. Ceci inclut le vocabulaire employé mais aussi l’inton</w:t>
      </w:r>
      <w:r w:rsidR="002D0F17" w:rsidRPr="00B713EE">
        <w:rPr>
          <w:rFonts w:ascii="Tw Cen MT" w:hAnsi="Tw Cen MT"/>
          <w:sz w:val="22"/>
        </w:rPr>
        <w:t>ation, l’aisance, l’expression</w:t>
      </w:r>
      <w:r w:rsidRPr="00B713EE">
        <w:rPr>
          <w:rFonts w:ascii="Tw Cen MT" w:hAnsi="Tw Cen MT"/>
          <w:sz w:val="22"/>
        </w:rPr>
        <w:t>, la diction, la gestuelle.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– La qualité de l’argumentation. Ceci inclut la capacité de convaincre mais aussi les idées, l’approche, la réflexion, les exemples, le respect du sujet, la clarté des propos.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La présente liste est limitative, le respect du temps n’est pas un critère. Le jury est souverain en sa décision au terme d’une délibération secrète. Les candidats s’engagent à ne pas contester sa décision.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lastRenderedPageBreak/>
        <w:t xml:space="preserve">Article </w:t>
      </w:r>
      <w:r w:rsidR="00183011" w:rsidRPr="00B713EE">
        <w:rPr>
          <w:rStyle w:val="lev"/>
          <w:rFonts w:ascii="Tw Cen MT" w:hAnsi="Tw Cen MT"/>
          <w:sz w:val="22"/>
        </w:rPr>
        <w:t>9</w:t>
      </w:r>
      <w:r w:rsidRPr="00B713EE">
        <w:rPr>
          <w:rStyle w:val="lev"/>
          <w:rFonts w:ascii="Tw Cen MT" w:hAnsi="Tw Cen MT"/>
          <w:sz w:val="22"/>
        </w:rPr>
        <w:t> : Récompenses.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Les récompenses seront remises à l’issue du concours.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1</w:t>
      </w:r>
      <w:r w:rsidR="00183011" w:rsidRPr="00B713EE">
        <w:rPr>
          <w:rStyle w:val="lev"/>
          <w:rFonts w:ascii="Tw Cen MT" w:hAnsi="Tw Cen MT"/>
          <w:sz w:val="22"/>
        </w:rPr>
        <w:t>0</w:t>
      </w:r>
      <w:r w:rsidRPr="00B713EE">
        <w:rPr>
          <w:rStyle w:val="lev"/>
          <w:rFonts w:ascii="Tw Cen MT" w:hAnsi="Tw Cen MT"/>
          <w:sz w:val="22"/>
        </w:rPr>
        <w:t> : Droits d’images et d’auteurs.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En signant ce règlement, les candidats acceptent que le texte de leur discours, leur enregistrement sonore, les vidéos ou encore les photos prises puissent faire l’objet d’une communication uniquement à des fins promotionnelles par </w:t>
      </w:r>
      <w:r w:rsidR="0018338D" w:rsidRPr="00B713EE">
        <w:rPr>
          <w:rFonts w:ascii="Tw Cen MT" w:hAnsi="Tw Cen MT"/>
          <w:sz w:val="22"/>
        </w:rPr>
        <w:t>la ville de Baie-Mahault.</w:t>
      </w:r>
    </w:p>
    <w:p w:rsidR="0018338D" w:rsidRPr="00B713EE" w:rsidRDefault="00183011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E</w:t>
      </w:r>
      <w:r w:rsidR="0018338D" w:rsidRPr="00B713EE">
        <w:rPr>
          <w:rFonts w:ascii="Tw Cen MT" w:hAnsi="Tw Cen MT"/>
          <w:sz w:val="22"/>
        </w:rPr>
        <w:t xml:space="preserve">n cas de suspicion de </w:t>
      </w:r>
      <w:r w:rsidRPr="00B713EE">
        <w:rPr>
          <w:rFonts w:ascii="Tw Cen MT" w:hAnsi="Tw Cen MT"/>
          <w:sz w:val="22"/>
        </w:rPr>
        <w:t>plagia</w:t>
      </w:r>
      <w:r w:rsidR="00B713EE">
        <w:rPr>
          <w:rFonts w:ascii="Tw Cen MT" w:hAnsi="Tw Cen MT"/>
          <w:sz w:val="22"/>
        </w:rPr>
        <w:t>t,</w:t>
      </w:r>
      <w:r w:rsidRPr="00B713EE">
        <w:rPr>
          <w:rFonts w:ascii="Tw Cen MT" w:hAnsi="Tw Cen MT"/>
          <w:sz w:val="22"/>
        </w:rPr>
        <w:t xml:space="preserve"> le candidat sera suspendu de manière provisoire. Si celle-ci s’avèr</w:t>
      </w:r>
      <w:r w:rsidR="00B713EE">
        <w:rPr>
          <w:rFonts w:ascii="Tw Cen MT" w:hAnsi="Tw Cen MT"/>
          <w:sz w:val="22"/>
        </w:rPr>
        <w:t xml:space="preserve">e fondée, </w:t>
      </w:r>
      <w:r w:rsidR="0018338D" w:rsidRPr="00B713EE">
        <w:rPr>
          <w:rFonts w:ascii="Tw Cen MT" w:hAnsi="Tw Cen MT"/>
          <w:sz w:val="22"/>
        </w:rPr>
        <w:t>l’</w:t>
      </w:r>
      <w:r w:rsidRPr="00B713EE">
        <w:rPr>
          <w:rFonts w:ascii="Tw Cen MT" w:hAnsi="Tw Cen MT"/>
          <w:sz w:val="22"/>
        </w:rPr>
        <w:t>exclusion</w:t>
      </w:r>
      <w:r w:rsidR="0018338D" w:rsidRPr="00B713EE">
        <w:rPr>
          <w:rFonts w:ascii="Tw Cen MT" w:hAnsi="Tw Cen MT"/>
          <w:sz w:val="22"/>
        </w:rPr>
        <w:t xml:space="preserve"> du ca</w:t>
      </w:r>
      <w:r w:rsidRPr="00B713EE">
        <w:rPr>
          <w:rFonts w:ascii="Tw Cen MT" w:hAnsi="Tw Cen MT"/>
          <w:sz w:val="22"/>
        </w:rPr>
        <w:t>ndidat sera</w:t>
      </w:r>
      <w:r w:rsidR="0018338D" w:rsidRPr="00B713EE">
        <w:rPr>
          <w:rFonts w:ascii="Tw Cen MT" w:hAnsi="Tw Cen MT"/>
          <w:sz w:val="22"/>
        </w:rPr>
        <w:t xml:space="preserve"> </w:t>
      </w:r>
      <w:r w:rsidR="00B713EE">
        <w:rPr>
          <w:rFonts w:ascii="Tw Cen MT" w:hAnsi="Tw Cen MT"/>
          <w:sz w:val="22"/>
        </w:rPr>
        <w:t>définitive</w:t>
      </w:r>
      <w:r w:rsidR="0018338D" w:rsidRPr="00B713EE">
        <w:rPr>
          <w:rFonts w:ascii="Tw Cen MT" w:hAnsi="Tw Cen MT"/>
          <w:sz w:val="22"/>
        </w:rPr>
        <w:t xml:space="preserve">. 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Si les candidats ou le jury ne souhaitent pas apparaître sur les photos et vidéos, il faudra le signaler dès l’inscription à l’organisation.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1</w:t>
      </w:r>
      <w:r w:rsidR="00183011" w:rsidRPr="00B713EE">
        <w:rPr>
          <w:rStyle w:val="lev"/>
          <w:rFonts w:ascii="Tw Cen MT" w:hAnsi="Tw Cen MT"/>
          <w:sz w:val="22"/>
        </w:rPr>
        <w:t>1</w:t>
      </w:r>
      <w:r w:rsidRPr="00B713EE">
        <w:rPr>
          <w:rStyle w:val="lev"/>
          <w:rFonts w:ascii="Tw Cen MT" w:hAnsi="Tw Cen MT"/>
          <w:sz w:val="22"/>
        </w:rPr>
        <w:t>: Des réclamations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L’inscription au concours d’éloquence emporte d’emblée l’interdiction de porter réclamation contre les décisions du jury, seul souverain en ce qui concerne</w:t>
      </w:r>
      <w:r w:rsidR="0018338D" w:rsidRPr="00B713EE">
        <w:rPr>
          <w:rFonts w:ascii="Tw Cen MT" w:hAnsi="Tw Cen MT"/>
          <w:sz w:val="22"/>
        </w:rPr>
        <w:t xml:space="preserve"> le classement final. L’</w:t>
      </w:r>
      <w:r w:rsidRPr="00B713EE">
        <w:rPr>
          <w:rFonts w:ascii="Tw Cen MT" w:hAnsi="Tw Cen MT"/>
          <w:sz w:val="22"/>
        </w:rPr>
        <w:t>organisateur se réserve le droit d’annuler ce concours, de disqualifier des candidats si des évènements l’imposent et de modifier le présent règlement.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1</w:t>
      </w:r>
      <w:r w:rsidR="00183011" w:rsidRPr="00B713EE">
        <w:rPr>
          <w:rStyle w:val="lev"/>
          <w:rFonts w:ascii="Tw Cen MT" w:hAnsi="Tw Cen MT"/>
          <w:sz w:val="22"/>
        </w:rPr>
        <w:t>2</w:t>
      </w:r>
      <w:r w:rsidRPr="00B713EE">
        <w:rPr>
          <w:rStyle w:val="lev"/>
          <w:rFonts w:ascii="Tw Cen MT" w:hAnsi="Tw Cen MT"/>
          <w:sz w:val="22"/>
        </w:rPr>
        <w:t xml:space="preserve"> : Du tirage au sort exceptionnel</w:t>
      </w:r>
    </w:p>
    <w:p w:rsidR="00CB4DD8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En cas de désistement imprévu et con</w:t>
      </w:r>
      <w:r w:rsidR="0018338D" w:rsidRPr="00B713EE">
        <w:rPr>
          <w:rFonts w:ascii="Tw Cen MT" w:hAnsi="Tw Cen MT"/>
          <w:sz w:val="22"/>
        </w:rPr>
        <w:t>traire au présent règlement, l’</w:t>
      </w:r>
      <w:r w:rsidRPr="00B713EE">
        <w:rPr>
          <w:rFonts w:ascii="Tw Cen MT" w:hAnsi="Tw Cen MT"/>
          <w:sz w:val="22"/>
        </w:rPr>
        <w:t xml:space="preserve">organisateur peut procéder à un </w:t>
      </w:r>
      <w:r w:rsidR="002B5DF4" w:rsidRPr="00B713EE">
        <w:rPr>
          <w:rFonts w:ascii="Tw Cen MT" w:hAnsi="Tw Cen MT"/>
          <w:sz w:val="22"/>
        </w:rPr>
        <w:t xml:space="preserve">repêchage du </w:t>
      </w:r>
      <w:r w:rsidR="00CB4DD8" w:rsidRPr="00B713EE">
        <w:rPr>
          <w:rFonts w:ascii="Tw Cen MT" w:hAnsi="Tw Cen MT"/>
          <w:sz w:val="22"/>
        </w:rPr>
        <w:t xml:space="preserve">troisième </w:t>
      </w:r>
      <w:r w:rsidR="002B5DF4" w:rsidRPr="00B713EE">
        <w:rPr>
          <w:rFonts w:ascii="Tw Cen MT" w:hAnsi="Tw Cen MT"/>
          <w:sz w:val="22"/>
        </w:rPr>
        <w:t xml:space="preserve">candidat </w:t>
      </w:r>
      <w:r w:rsidR="00CB4DD8" w:rsidRPr="00B713EE">
        <w:rPr>
          <w:rFonts w:ascii="Tw Cen MT" w:hAnsi="Tw Cen MT"/>
          <w:sz w:val="22"/>
        </w:rPr>
        <w:t xml:space="preserve">du quartier concerné. </w:t>
      </w:r>
    </w:p>
    <w:p w:rsidR="008A27E7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Style w:val="lev"/>
          <w:rFonts w:ascii="Tw Cen MT" w:hAnsi="Tw Cen MT"/>
          <w:sz w:val="22"/>
        </w:rPr>
        <w:t>Article 1</w:t>
      </w:r>
      <w:r w:rsidR="00183011" w:rsidRPr="00B713EE">
        <w:rPr>
          <w:rStyle w:val="lev"/>
          <w:rFonts w:ascii="Tw Cen MT" w:hAnsi="Tw Cen MT"/>
          <w:sz w:val="22"/>
        </w:rPr>
        <w:t>3</w:t>
      </w:r>
      <w:r w:rsidRPr="00B713EE">
        <w:rPr>
          <w:rStyle w:val="lev"/>
          <w:rFonts w:ascii="Tw Cen MT" w:hAnsi="Tw Cen MT"/>
          <w:sz w:val="22"/>
        </w:rPr>
        <w:t xml:space="preserve"> : Acceptation du règlement.</w:t>
      </w:r>
    </w:p>
    <w:p w:rsidR="00D155A6" w:rsidRPr="00B713EE" w:rsidRDefault="008A27E7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La signature de ce règlement implique l’acceptation pure et simple de celui-ci.</w:t>
      </w:r>
    </w:p>
    <w:p w:rsidR="00183011" w:rsidRPr="00B713EE" w:rsidRDefault="00183011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Fait à</w:t>
      </w:r>
      <w:r w:rsidR="00D155A6" w:rsidRPr="00B713EE">
        <w:rPr>
          <w:rFonts w:ascii="Tw Cen MT" w:hAnsi="Tw Cen MT"/>
          <w:sz w:val="22"/>
        </w:rPr>
        <w:t> :</w:t>
      </w:r>
      <w:r w:rsidRPr="00B713EE">
        <w:rPr>
          <w:rFonts w:ascii="Tw Cen MT" w:hAnsi="Tw Cen MT"/>
          <w:sz w:val="22"/>
        </w:rPr>
        <w:t>……………………………</w:t>
      </w:r>
      <w:r w:rsidR="00D155A6" w:rsidRPr="00B713EE">
        <w:rPr>
          <w:rFonts w:ascii="Tw Cen MT" w:hAnsi="Tw Cen MT"/>
          <w:sz w:val="22"/>
        </w:rPr>
        <w:t>……….</w:t>
      </w:r>
      <w:r w:rsidR="00D155A6" w:rsidRPr="00B713EE">
        <w:rPr>
          <w:rFonts w:ascii="Tw Cen MT" w:hAnsi="Tw Cen MT"/>
          <w:sz w:val="22"/>
        </w:rPr>
        <w:tab/>
      </w:r>
      <w:r w:rsidR="00D155A6" w:rsidRPr="00B713EE">
        <w:rPr>
          <w:rFonts w:ascii="Tw Cen MT" w:hAnsi="Tw Cen MT"/>
          <w:sz w:val="22"/>
        </w:rPr>
        <w:tab/>
      </w:r>
      <w:r w:rsidRPr="00B713EE">
        <w:rPr>
          <w:rFonts w:ascii="Tw Cen MT" w:hAnsi="Tw Cen MT"/>
          <w:sz w:val="22"/>
        </w:rPr>
        <w:tab/>
      </w:r>
      <w:r w:rsidRPr="00B713EE">
        <w:rPr>
          <w:rFonts w:ascii="Tw Cen MT" w:hAnsi="Tw Cen MT"/>
          <w:sz w:val="22"/>
        </w:rPr>
        <w:tab/>
      </w:r>
      <w:r w:rsidRPr="00B713EE">
        <w:rPr>
          <w:rFonts w:ascii="Tw Cen MT" w:hAnsi="Tw Cen MT"/>
          <w:sz w:val="22"/>
        </w:rPr>
        <w:tab/>
        <w:t>Le</w:t>
      </w:r>
      <w:r w:rsidR="00D155A6" w:rsidRPr="00B713EE">
        <w:rPr>
          <w:rFonts w:ascii="Tw Cen MT" w:hAnsi="Tw Cen MT"/>
          <w:sz w:val="22"/>
        </w:rPr>
        <w:t> :</w:t>
      </w:r>
      <w:r w:rsidRPr="00B713EE">
        <w:rPr>
          <w:rFonts w:ascii="Tw Cen MT" w:hAnsi="Tw Cen MT"/>
          <w:sz w:val="22"/>
        </w:rPr>
        <w:t>……/……/…...</w:t>
      </w:r>
    </w:p>
    <w:p w:rsidR="00D155A6" w:rsidRPr="00B713EE" w:rsidRDefault="00D155A6" w:rsidP="00B713EE">
      <w:pPr>
        <w:pStyle w:val="NormalWeb"/>
        <w:jc w:val="both"/>
        <w:rPr>
          <w:rFonts w:ascii="Tw Cen MT" w:hAnsi="Tw Cen MT"/>
          <w:sz w:val="22"/>
        </w:rPr>
      </w:pPr>
    </w:p>
    <w:p w:rsidR="00D155A6" w:rsidRPr="00B713EE" w:rsidRDefault="00D155A6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>Mention lu et approuvé</w:t>
      </w:r>
    </w:p>
    <w:p w:rsidR="00FB0FB4" w:rsidRPr="00B713EE" w:rsidRDefault="00FB0FB4" w:rsidP="00B713EE">
      <w:pPr>
        <w:pStyle w:val="NormalWeb"/>
        <w:jc w:val="both"/>
        <w:rPr>
          <w:rFonts w:ascii="Tw Cen MT" w:hAnsi="Tw Cen MT"/>
          <w:sz w:val="22"/>
        </w:rPr>
      </w:pPr>
    </w:p>
    <w:p w:rsidR="00D155A6" w:rsidRPr="00B713EE" w:rsidRDefault="00D155A6" w:rsidP="00B713EE">
      <w:pPr>
        <w:pStyle w:val="NormalWeb"/>
        <w:jc w:val="both"/>
        <w:rPr>
          <w:rFonts w:ascii="Tw Cen MT" w:hAnsi="Tw Cen MT"/>
          <w:sz w:val="22"/>
        </w:rPr>
      </w:pPr>
      <w:r w:rsidRPr="00B713EE">
        <w:rPr>
          <w:rFonts w:ascii="Tw Cen MT" w:hAnsi="Tw Cen MT"/>
          <w:sz w:val="22"/>
        </w:rPr>
        <w:t xml:space="preserve">Signature </w:t>
      </w:r>
    </w:p>
    <w:sectPr w:rsidR="00D155A6" w:rsidRPr="00B713EE" w:rsidSect="00FB0FB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239"/>
    <w:multiLevelType w:val="hybridMultilevel"/>
    <w:tmpl w:val="6BEA5A1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8A27E7"/>
    <w:rsid w:val="000010CA"/>
    <w:rsid w:val="00035B9E"/>
    <w:rsid w:val="000E450C"/>
    <w:rsid w:val="00183011"/>
    <w:rsid w:val="0018338D"/>
    <w:rsid w:val="001E6739"/>
    <w:rsid w:val="002659EA"/>
    <w:rsid w:val="002B5DF4"/>
    <w:rsid w:val="002C3848"/>
    <w:rsid w:val="002D0F17"/>
    <w:rsid w:val="0032218F"/>
    <w:rsid w:val="003664BA"/>
    <w:rsid w:val="003C4E98"/>
    <w:rsid w:val="00414EAC"/>
    <w:rsid w:val="00431419"/>
    <w:rsid w:val="00467D1F"/>
    <w:rsid w:val="0049448A"/>
    <w:rsid w:val="00523194"/>
    <w:rsid w:val="00597F6F"/>
    <w:rsid w:val="006256B2"/>
    <w:rsid w:val="007340D7"/>
    <w:rsid w:val="0085106E"/>
    <w:rsid w:val="008A27E7"/>
    <w:rsid w:val="00936780"/>
    <w:rsid w:val="009469F5"/>
    <w:rsid w:val="00A738EF"/>
    <w:rsid w:val="00A75B8F"/>
    <w:rsid w:val="00B50BDB"/>
    <w:rsid w:val="00B713EE"/>
    <w:rsid w:val="00CB4DD8"/>
    <w:rsid w:val="00D155A6"/>
    <w:rsid w:val="00EE77E2"/>
    <w:rsid w:val="00F96C1E"/>
    <w:rsid w:val="00FB0FB4"/>
    <w:rsid w:val="00FD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E7"/>
    <w:rPr>
      <w:rFonts w:ascii="Times New Roman" w:eastAsia="Times New Roman" w:hAnsi="Times New Roman"/>
    </w:rPr>
  </w:style>
  <w:style w:type="paragraph" w:styleId="Titre7">
    <w:name w:val="heading 7"/>
    <w:basedOn w:val="Normal"/>
    <w:next w:val="Normal"/>
    <w:link w:val="Titre7Car"/>
    <w:qFormat/>
    <w:rsid w:val="008A27E7"/>
    <w:pPr>
      <w:keepNext/>
      <w:jc w:val="center"/>
      <w:outlineLvl w:val="6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8A27E7"/>
    <w:rPr>
      <w:rFonts w:ascii="Times New Roman" w:eastAsia="Times New Roman" w:hAnsi="Times New Roman" w:cs="Times New Roman"/>
      <w:b/>
      <w:bCs/>
      <w:sz w:val="32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A27E7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8A27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A2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verinjo</dc:creator>
  <cp:lastModifiedBy>vidalva</cp:lastModifiedBy>
  <cp:revision>2</cp:revision>
  <cp:lastPrinted>2024-03-21T15:28:00Z</cp:lastPrinted>
  <dcterms:created xsi:type="dcterms:W3CDTF">2025-05-02T18:14:00Z</dcterms:created>
  <dcterms:modified xsi:type="dcterms:W3CDTF">2025-05-02T18:14:00Z</dcterms:modified>
</cp:coreProperties>
</file>